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77777777" w:rsidR="007E44D9" w:rsidRPr="007E44D9" w:rsidRDefault="00D73852" w:rsidP="007E44D9">
      <w:pPr>
        <w:bidi/>
        <w:spacing w:after="0" w:line="240" w:lineRule="auto"/>
        <w:jc w:val="center"/>
        <w:rPr>
          <w:rFonts w:cs="Calibri"/>
          <w:b/>
          <w:bCs/>
          <w:color w:val="0070C0"/>
          <w:sz w:val="28"/>
          <w:szCs w:val="28"/>
          <w:rtl/>
          <w:lang w:bidi="ar-IQ"/>
        </w:rPr>
      </w:pPr>
      <w:r w:rsidRPr="007E44D9">
        <w:rPr>
          <w:rFonts w:cs="Calibri" w:hint="cs"/>
          <w:b/>
          <w:bCs/>
          <w:color w:val="0070C0"/>
          <w:sz w:val="28"/>
          <w:szCs w:val="28"/>
          <w:rtl/>
          <w:lang w:bidi="ar-IQ"/>
        </w:rPr>
        <w:t>هيأة الشفافية في إدارة الثروات الطبيعية</w:t>
      </w:r>
    </w:p>
    <w:p w14:paraId="5B01C53C" w14:textId="5897989A" w:rsidR="008C3D46" w:rsidRPr="007E44D9" w:rsidRDefault="005B15F7" w:rsidP="007E44D9">
      <w:pPr>
        <w:bidi/>
        <w:spacing w:after="240" w:line="240" w:lineRule="auto"/>
        <w:jc w:val="center"/>
        <w:rPr>
          <w:rFonts w:cs="Calibri"/>
          <w:b/>
          <w:bCs/>
          <w:color w:val="0070C0"/>
          <w:sz w:val="28"/>
          <w:szCs w:val="28"/>
          <w:rtl/>
          <w:lang w:bidi="ar-IQ"/>
        </w:rPr>
      </w:pPr>
      <w:r w:rsidRPr="007E44D9">
        <w:rPr>
          <w:rFonts w:cs="Calibri"/>
          <w:b/>
          <w:bCs/>
          <w:color w:val="0070C0"/>
          <w:sz w:val="28"/>
          <w:szCs w:val="28"/>
          <w:rtl/>
          <w:lang w:bidi="ar-IQ"/>
        </w:rPr>
        <w:t>اجتماع</w:t>
      </w:r>
      <w:r w:rsidR="002A18C7" w:rsidRPr="007E44D9">
        <w:rPr>
          <w:rFonts w:cs="Calibri"/>
          <w:b/>
          <w:bCs/>
          <w:color w:val="0070C0"/>
          <w:sz w:val="28"/>
          <w:szCs w:val="28"/>
          <w:rtl/>
          <w:lang w:bidi="ar-IQ"/>
        </w:rPr>
        <w:t xml:space="preserve"> مجلس </w:t>
      </w:r>
      <w:r w:rsidR="00714A5C" w:rsidRPr="007E44D9">
        <w:rPr>
          <w:rFonts w:cs="Calibri"/>
          <w:b/>
          <w:bCs/>
          <w:color w:val="0070C0"/>
          <w:sz w:val="28"/>
          <w:szCs w:val="28"/>
          <w:rtl/>
          <w:lang w:bidi="ar-IQ"/>
        </w:rPr>
        <w:t>الأ</w:t>
      </w:r>
      <w:r w:rsidR="00F645D2" w:rsidRPr="007E44D9">
        <w:rPr>
          <w:rFonts w:cs="Calibri"/>
          <w:b/>
          <w:bCs/>
          <w:color w:val="0070C0"/>
          <w:sz w:val="28"/>
          <w:szCs w:val="28"/>
          <w:rtl/>
          <w:lang w:bidi="ar-IQ"/>
        </w:rPr>
        <w:t>من</w:t>
      </w:r>
      <w:r w:rsidR="00714A5C" w:rsidRPr="007E44D9">
        <w:rPr>
          <w:rFonts w:cs="Calibri"/>
          <w:b/>
          <w:bCs/>
          <w:color w:val="0070C0"/>
          <w:sz w:val="28"/>
          <w:szCs w:val="28"/>
          <w:rtl/>
          <w:lang w:bidi="ar-IQ"/>
        </w:rPr>
        <w:t>اء</w:t>
      </w:r>
      <w:r w:rsidR="002A18C7" w:rsidRPr="007E44D9">
        <w:rPr>
          <w:rFonts w:cs="Calibri"/>
          <w:b/>
          <w:bCs/>
          <w:color w:val="0070C0"/>
          <w:sz w:val="28"/>
          <w:szCs w:val="28"/>
          <w:rtl/>
          <w:lang w:bidi="ar-IQ"/>
        </w:rPr>
        <w:t xml:space="preserve"> رقم </w:t>
      </w:r>
      <w:bookmarkStart w:id="0" w:name="_Hlk19821157"/>
      <w:r w:rsidR="00182F35">
        <w:rPr>
          <w:rFonts w:cs="Calibri"/>
          <w:b/>
          <w:bCs/>
          <w:color w:val="0070C0"/>
          <w:sz w:val="28"/>
          <w:szCs w:val="28"/>
          <w:lang w:bidi="ar-IQ"/>
        </w:rPr>
        <w:t>69</w:t>
      </w:r>
    </w:p>
    <w:p w14:paraId="0DE33EA8" w14:textId="4048E83A" w:rsidR="007E44D9" w:rsidRPr="00182F35" w:rsidRDefault="007E44D9" w:rsidP="00D507DA">
      <w:pPr>
        <w:bidi/>
        <w:spacing w:after="0" w:line="240" w:lineRule="auto"/>
        <w:jc w:val="both"/>
        <w:rPr>
          <w:rFonts w:cs="Calibri"/>
          <w:color w:val="4472C4" w:themeColor="accent1"/>
          <w:sz w:val="28"/>
          <w:szCs w:val="28"/>
          <w:rtl/>
          <w:lang w:bidi="ar-IQ"/>
        </w:rPr>
      </w:pPr>
      <w:r w:rsidRPr="00182F35">
        <w:rPr>
          <w:rFonts w:cs="Calibri" w:hint="cs"/>
          <w:b/>
          <w:bCs/>
          <w:color w:val="4472C4" w:themeColor="accent1"/>
          <w:sz w:val="28"/>
          <w:szCs w:val="28"/>
          <w:rtl/>
          <w:lang w:bidi="ar-IQ"/>
        </w:rPr>
        <w:t>المكان:</w:t>
      </w:r>
      <w:r w:rsidRPr="00182F35">
        <w:rPr>
          <w:rFonts w:cs="Calibri" w:hint="cs"/>
          <w:color w:val="4472C4" w:themeColor="accent1"/>
          <w:sz w:val="28"/>
          <w:szCs w:val="28"/>
          <w:rtl/>
          <w:lang w:bidi="ar-IQ"/>
        </w:rPr>
        <w:t xml:space="preserve"> </w:t>
      </w:r>
      <w:r w:rsidR="00182F35" w:rsidRPr="00182F35">
        <w:rPr>
          <w:rFonts w:asciiTheme="minorHAnsi" w:hAnsiTheme="minorHAnsi" w:cstheme="minorHAnsi"/>
          <w:color w:val="4472C4" w:themeColor="accent1"/>
          <w:sz w:val="28"/>
          <w:szCs w:val="28"/>
          <w:rtl/>
          <w:lang w:bidi="ar-IQ"/>
        </w:rPr>
        <w:t xml:space="preserve">في مبنى وزارة النفط، قاعة </w:t>
      </w:r>
      <w:r w:rsidR="00182F35" w:rsidRPr="00182F35">
        <w:rPr>
          <w:rFonts w:asciiTheme="minorHAnsi" w:hAnsiTheme="minorHAnsi" w:cstheme="minorHAnsi" w:hint="cs"/>
          <w:color w:val="4472C4" w:themeColor="accent1"/>
          <w:sz w:val="28"/>
          <w:szCs w:val="28"/>
          <w:rtl/>
          <w:lang w:bidi="ar-IQ"/>
        </w:rPr>
        <w:t>الأقصى</w:t>
      </w:r>
    </w:p>
    <w:p w14:paraId="3A4A9438" w14:textId="3B7647A8" w:rsidR="007E44D9" w:rsidRPr="00182F35" w:rsidRDefault="007E44D9" w:rsidP="007E44D9">
      <w:pPr>
        <w:bidi/>
        <w:spacing w:after="0" w:line="240" w:lineRule="auto"/>
        <w:jc w:val="both"/>
        <w:rPr>
          <w:rFonts w:asciiTheme="minorHAnsi" w:hAnsiTheme="minorHAnsi" w:cstheme="minorHAnsi"/>
          <w:color w:val="4472C4" w:themeColor="accent1"/>
          <w:sz w:val="28"/>
          <w:szCs w:val="28"/>
          <w:lang w:bidi="ar-IQ"/>
        </w:rPr>
      </w:pPr>
      <w:r w:rsidRPr="00182F35">
        <w:rPr>
          <w:rFonts w:cs="Calibri" w:hint="cs"/>
          <w:b/>
          <w:bCs/>
          <w:color w:val="4472C4" w:themeColor="accent1"/>
          <w:sz w:val="28"/>
          <w:szCs w:val="28"/>
          <w:rtl/>
          <w:lang w:bidi="ar-IQ"/>
        </w:rPr>
        <w:t>الزمان:</w:t>
      </w:r>
      <w:r w:rsidRPr="00182F35">
        <w:rPr>
          <w:rFonts w:cs="Calibri" w:hint="cs"/>
          <w:color w:val="4472C4" w:themeColor="accent1"/>
          <w:sz w:val="28"/>
          <w:szCs w:val="28"/>
          <w:rtl/>
          <w:lang w:bidi="ar-IQ"/>
        </w:rPr>
        <w:t xml:space="preserve"> </w:t>
      </w:r>
      <w:r w:rsidR="00182F35" w:rsidRPr="00182F35">
        <w:rPr>
          <w:rFonts w:asciiTheme="minorHAnsi" w:hAnsiTheme="minorHAnsi" w:cstheme="minorHAnsi"/>
          <w:color w:val="4472C4" w:themeColor="accent1"/>
          <w:sz w:val="28"/>
          <w:szCs w:val="28"/>
          <w:rtl/>
          <w:lang w:bidi="ar-IQ"/>
        </w:rPr>
        <w:t xml:space="preserve">الساعة التاسعة صباحاً من يوم </w:t>
      </w:r>
      <w:r w:rsidR="00182F35" w:rsidRPr="00182F35">
        <w:rPr>
          <w:rFonts w:asciiTheme="minorHAnsi" w:hAnsiTheme="minorHAnsi" w:cstheme="minorHAnsi" w:hint="cs"/>
          <w:color w:val="4472C4" w:themeColor="accent1"/>
          <w:sz w:val="28"/>
          <w:szCs w:val="28"/>
          <w:rtl/>
          <w:lang w:bidi="ar-IQ"/>
        </w:rPr>
        <w:t>الأربعاء</w:t>
      </w:r>
      <w:r w:rsidR="00182F35" w:rsidRPr="00182F35">
        <w:rPr>
          <w:rFonts w:asciiTheme="minorHAnsi" w:hAnsiTheme="minorHAnsi" w:cstheme="minorHAnsi"/>
          <w:color w:val="4472C4" w:themeColor="accent1"/>
          <w:sz w:val="28"/>
          <w:szCs w:val="28"/>
          <w:rtl/>
          <w:lang w:bidi="ar-IQ"/>
        </w:rPr>
        <w:t xml:space="preserve"> الموافق </w:t>
      </w:r>
      <w:r w:rsidR="00182F35" w:rsidRPr="00182F35">
        <w:rPr>
          <w:rFonts w:asciiTheme="minorHAnsi" w:hAnsiTheme="minorHAnsi" w:cstheme="minorHAnsi" w:hint="cs"/>
          <w:color w:val="4472C4" w:themeColor="accent1"/>
          <w:sz w:val="28"/>
          <w:szCs w:val="28"/>
          <w:rtl/>
          <w:lang w:bidi="ar-IQ"/>
        </w:rPr>
        <w:t>5/2/2020</w:t>
      </w:r>
    </w:p>
    <w:p w14:paraId="4CD3DB15" w14:textId="77777777" w:rsidR="00182F35" w:rsidRPr="00182F35" w:rsidRDefault="00182F35" w:rsidP="00182F35">
      <w:pPr>
        <w:bidi/>
        <w:spacing w:after="0" w:line="240" w:lineRule="auto"/>
        <w:jc w:val="both"/>
        <w:rPr>
          <w:rFonts w:asciiTheme="minorHAnsi" w:hAnsiTheme="minorHAnsi" w:cstheme="minorHAnsi"/>
          <w:color w:val="4472C4" w:themeColor="accent1"/>
          <w:sz w:val="28"/>
          <w:szCs w:val="28"/>
          <w:lang w:bidi="ar-IQ"/>
        </w:rPr>
      </w:pPr>
    </w:p>
    <w:p w14:paraId="48637ADF" w14:textId="77777777" w:rsidR="00182F35" w:rsidRPr="00C03DBB" w:rsidRDefault="00182F35" w:rsidP="00182F35">
      <w:pPr>
        <w:bidi/>
        <w:spacing w:before="240" w:after="0"/>
        <w:jc w:val="both"/>
        <w:rPr>
          <w:rFonts w:asciiTheme="minorHAnsi" w:hAnsiTheme="minorHAnsi" w:cstheme="minorHAnsi"/>
          <w:b/>
          <w:bCs/>
          <w:color w:val="000000" w:themeColor="text1"/>
          <w:sz w:val="28"/>
          <w:szCs w:val="28"/>
          <w:lang w:bidi="ar-IQ"/>
        </w:rPr>
      </w:pPr>
      <w:r w:rsidRPr="00C03DBB">
        <w:rPr>
          <w:rFonts w:asciiTheme="minorHAnsi" w:hAnsiTheme="minorHAnsi" w:cstheme="minorHAnsi"/>
          <w:b/>
          <w:bCs/>
          <w:color w:val="000000" w:themeColor="text1"/>
          <w:sz w:val="28"/>
          <w:szCs w:val="28"/>
          <w:rtl/>
          <w:lang w:bidi="ar-IQ"/>
        </w:rPr>
        <w:t>تقرير 201</w:t>
      </w:r>
      <w:r>
        <w:rPr>
          <w:rFonts w:asciiTheme="minorHAnsi" w:hAnsiTheme="minorHAnsi" w:cstheme="minorHAnsi" w:hint="cs"/>
          <w:b/>
          <w:bCs/>
          <w:color w:val="000000" w:themeColor="text1"/>
          <w:sz w:val="28"/>
          <w:szCs w:val="28"/>
          <w:rtl/>
          <w:lang w:bidi="ar-IQ"/>
        </w:rPr>
        <w:t>8</w:t>
      </w:r>
      <w:r w:rsidRPr="00C03DBB">
        <w:rPr>
          <w:rFonts w:asciiTheme="minorHAnsi" w:hAnsiTheme="minorHAnsi" w:cstheme="minorHAnsi"/>
          <w:b/>
          <w:bCs/>
          <w:color w:val="000000" w:themeColor="text1"/>
          <w:sz w:val="28"/>
          <w:szCs w:val="28"/>
          <w:rtl/>
          <w:lang w:bidi="ar-IQ"/>
        </w:rPr>
        <w:t xml:space="preserve"> </w:t>
      </w:r>
    </w:p>
    <w:p w14:paraId="2B6DA131" w14:textId="77777777" w:rsidR="00182F35" w:rsidRDefault="00182F35" w:rsidP="00182F35">
      <w:pPr>
        <w:bidi/>
        <w:spacing w:after="0"/>
        <w:jc w:val="both"/>
        <w:rPr>
          <w:rFonts w:cstheme="minorHAnsi"/>
          <w:sz w:val="28"/>
          <w:szCs w:val="28"/>
          <w:rtl/>
          <w:lang w:bidi="ar-IQ"/>
        </w:rPr>
      </w:pPr>
      <w:r>
        <w:rPr>
          <w:rFonts w:cstheme="minorHAnsi" w:hint="cs"/>
          <w:sz w:val="28"/>
          <w:szCs w:val="28"/>
          <w:rtl/>
          <w:lang w:bidi="ar-IQ"/>
        </w:rPr>
        <w:t xml:space="preserve">استعرض المجلس مسودة التقرير الابتدائي وأجاب ممثل شركة جي </w:t>
      </w:r>
      <w:proofErr w:type="spellStart"/>
      <w:r>
        <w:rPr>
          <w:rFonts w:cstheme="minorHAnsi" w:hint="cs"/>
          <w:sz w:val="28"/>
          <w:szCs w:val="28"/>
          <w:rtl/>
          <w:lang w:bidi="ar-IQ"/>
        </w:rPr>
        <w:t>جي</w:t>
      </w:r>
      <w:proofErr w:type="spellEnd"/>
      <w:r>
        <w:rPr>
          <w:rFonts w:cstheme="minorHAnsi" w:hint="cs"/>
          <w:sz w:val="28"/>
          <w:szCs w:val="28"/>
          <w:rtl/>
          <w:lang w:bidi="ar-IQ"/>
        </w:rPr>
        <w:t xml:space="preserve"> </w:t>
      </w:r>
      <w:proofErr w:type="spellStart"/>
      <w:r>
        <w:rPr>
          <w:rFonts w:cstheme="minorHAnsi" w:hint="cs"/>
          <w:sz w:val="28"/>
          <w:szCs w:val="28"/>
          <w:rtl/>
          <w:lang w:bidi="ar-IQ"/>
        </w:rPr>
        <w:t>آي</w:t>
      </w:r>
      <w:proofErr w:type="spellEnd"/>
      <w:r>
        <w:rPr>
          <w:rFonts w:cstheme="minorHAnsi" w:hint="cs"/>
          <w:sz w:val="28"/>
          <w:szCs w:val="28"/>
          <w:rtl/>
          <w:lang w:bidi="ar-IQ"/>
        </w:rPr>
        <w:t xml:space="preserve"> على </w:t>
      </w:r>
      <w:proofErr w:type="spellStart"/>
      <w:r>
        <w:rPr>
          <w:rFonts w:cstheme="minorHAnsi" w:hint="cs"/>
          <w:sz w:val="28"/>
          <w:szCs w:val="28"/>
          <w:rtl/>
          <w:lang w:bidi="ar-IQ"/>
        </w:rPr>
        <w:t>استيضاحات</w:t>
      </w:r>
      <w:proofErr w:type="spellEnd"/>
      <w:r>
        <w:rPr>
          <w:rFonts w:cstheme="minorHAnsi" w:hint="cs"/>
          <w:sz w:val="28"/>
          <w:szCs w:val="28"/>
          <w:rtl/>
          <w:lang w:bidi="ar-IQ"/>
        </w:rPr>
        <w:t xml:space="preserve"> واستفسارات وملاحظات الأعضاء عن محتويات التقرير ومدى موائمته ومتطلبات الشروط المرجعية ومعايير المبادرة. وعن مراعاته للإجراءات التصحيحية الواردة في رسالة البورد الدولي إلى السيد رئيس المجلس بتاريخ 16/10/2020.</w:t>
      </w:r>
    </w:p>
    <w:p w14:paraId="27CDA906" w14:textId="77777777" w:rsidR="00182F35" w:rsidRPr="00182F35" w:rsidRDefault="00182F35" w:rsidP="00182F35">
      <w:pPr>
        <w:bidi/>
        <w:spacing w:after="0"/>
        <w:ind w:firstLine="510"/>
        <w:jc w:val="both"/>
        <w:rPr>
          <w:rFonts w:asciiTheme="minorHAnsi" w:hAnsiTheme="minorHAnsi" w:cstheme="minorHAnsi"/>
          <w:color w:val="4472C4" w:themeColor="accent1"/>
          <w:sz w:val="28"/>
          <w:szCs w:val="28"/>
          <w:rtl/>
          <w:lang w:bidi="ar-IQ"/>
        </w:rPr>
      </w:pPr>
      <w:r w:rsidRPr="00182F35">
        <w:rPr>
          <w:rFonts w:asciiTheme="minorHAnsi" w:hAnsiTheme="minorHAnsi" w:cstheme="minorHAnsi"/>
          <w:b/>
          <w:bCs/>
          <w:color w:val="4472C4" w:themeColor="accent1"/>
          <w:sz w:val="28"/>
          <w:szCs w:val="28"/>
          <w:rtl/>
          <w:lang w:bidi="ar-IQ"/>
        </w:rPr>
        <w:t>القرار:</w:t>
      </w:r>
    </w:p>
    <w:p w14:paraId="17DA04F4" w14:textId="77777777" w:rsidR="00182F35" w:rsidRPr="00182F35" w:rsidRDefault="00182F35" w:rsidP="00182F35">
      <w:pPr>
        <w:pStyle w:val="ListParagraph"/>
        <w:numPr>
          <w:ilvl w:val="0"/>
          <w:numId w:val="33"/>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تشكيل لجنة مكونة من السادة زيد الياسري وجلال أحمد وهيثم البخاري وحيدر فاضل تخول بتحديد الأهمية النسبية لتقرير عام 2018 وتقرير عام 2019 من خلال اتباع الخطوات المعتمدة في المعايير والتي منها الفهم الواضح وتحديد الإيرادات والشركات المشمولة والتوثيق.</w:t>
      </w:r>
    </w:p>
    <w:p w14:paraId="21FCB9D8" w14:textId="77777777" w:rsidR="00182F35" w:rsidRPr="00182F35" w:rsidRDefault="00182F35" w:rsidP="00182F35">
      <w:pPr>
        <w:pStyle w:val="ListParagraph"/>
        <w:numPr>
          <w:ilvl w:val="0"/>
          <w:numId w:val="33"/>
        </w:numPr>
        <w:bidi/>
        <w:jc w:val="both"/>
        <w:rPr>
          <w:rFonts w:asciiTheme="minorHAnsi" w:hAnsiTheme="minorHAnsi" w:cstheme="minorHAnsi"/>
          <w:color w:val="4472C4" w:themeColor="accent1"/>
          <w:sz w:val="28"/>
          <w:szCs w:val="28"/>
          <w:rtl/>
          <w:lang w:bidi="ar-IQ"/>
        </w:rPr>
      </w:pPr>
      <w:r w:rsidRPr="00182F35">
        <w:rPr>
          <w:rFonts w:asciiTheme="minorHAnsi" w:hAnsiTheme="minorHAnsi" w:cstheme="minorHAnsi" w:hint="cs"/>
          <w:color w:val="4472C4" w:themeColor="accent1"/>
          <w:sz w:val="28"/>
          <w:szCs w:val="28"/>
          <w:rtl/>
          <w:lang w:bidi="ar-IQ"/>
        </w:rPr>
        <w:t>الموافقة على التقرير وتوجيه الإداري المستقل بمراعاة الآتي:</w:t>
      </w:r>
    </w:p>
    <w:p w14:paraId="77724598" w14:textId="77777777" w:rsidR="00182F35" w:rsidRPr="00182F35" w:rsidRDefault="00182F35" w:rsidP="00182F35">
      <w:pPr>
        <w:pStyle w:val="ListParagraph"/>
        <w:numPr>
          <w:ilvl w:val="0"/>
          <w:numId w:val="35"/>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أن يشمل التقرير بيانات ملكية المنفعة بموجب خارطة الطريق التي سيعتمدها المجلس لاحقاً.</w:t>
      </w:r>
    </w:p>
    <w:p w14:paraId="75E4C5E9" w14:textId="77777777" w:rsidR="00182F35" w:rsidRPr="00182F35" w:rsidRDefault="00182F35" w:rsidP="00182F35">
      <w:pPr>
        <w:pStyle w:val="ListParagraph"/>
        <w:numPr>
          <w:ilvl w:val="0"/>
          <w:numId w:val="35"/>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تحديث البيانات المتعلقة بالإجراءات التصحيحية بعد استكمال المجلس لخطة معالجتها.</w:t>
      </w:r>
    </w:p>
    <w:p w14:paraId="648978D9" w14:textId="77777777" w:rsidR="00182F35" w:rsidRPr="00182F35" w:rsidRDefault="00182F35" w:rsidP="00182F35">
      <w:pPr>
        <w:pStyle w:val="ListParagraph"/>
        <w:numPr>
          <w:ilvl w:val="0"/>
          <w:numId w:val="35"/>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أن تشير فصول تقرير عام 2018 إلى خطوات المجلس المتعلقة بالإجراءات التصحيحية حيثما استدعت الحاجة.</w:t>
      </w:r>
    </w:p>
    <w:p w14:paraId="08EE0AC1" w14:textId="77777777" w:rsidR="00182F35" w:rsidRPr="00182F35" w:rsidRDefault="00182F35" w:rsidP="00182F35">
      <w:pPr>
        <w:pStyle w:val="ListParagraph"/>
        <w:numPr>
          <w:ilvl w:val="0"/>
          <w:numId w:val="35"/>
        </w:numPr>
        <w:bidi/>
        <w:jc w:val="both"/>
        <w:rPr>
          <w:rFonts w:asciiTheme="minorHAnsi" w:hAnsiTheme="minorHAnsi" w:cstheme="minorHAnsi"/>
          <w:color w:val="4472C4" w:themeColor="accent1"/>
          <w:sz w:val="28"/>
          <w:szCs w:val="28"/>
          <w:rtl/>
          <w:lang w:bidi="ar-IQ"/>
        </w:rPr>
      </w:pPr>
      <w:r w:rsidRPr="00182F35">
        <w:rPr>
          <w:rFonts w:asciiTheme="minorHAnsi" w:hAnsiTheme="minorHAnsi" w:cstheme="minorHAnsi" w:hint="cs"/>
          <w:color w:val="4472C4" w:themeColor="accent1"/>
          <w:sz w:val="28"/>
          <w:szCs w:val="28"/>
          <w:rtl/>
          <w:lang w:bidi="ar-IQ"/>
        </w:rPr>
        <w:t>أن يراعى في تعريف "المشروع" على أنه يشير إلى الحقل الذي يستخرج منه النفط أو الغار أو المعادن.</w:t>
      </w:r>
    </w:p>
    <w:p w14:paraId="2F1F5380" w14:textId="77777777" w:rsidR="00182F35" w:rsidRPr="00C03DBB" w:rsidRDefault="00182F35" w:rsidP="00182F35">
      <w:pPr>
        <w:bidi/>
        <w:spacing w:before="240" w:after="0"/>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الإجراءات التصحيحية</w:t>
      </w:r>
    </w:p>
    <w:p w14:paraId="5FD3109E" w14:textId="77777777" w:rsidR="00182F35" w:rsidRDefault="00182F35" w:rsidP="00182F35">
      <w:pPr>
        <w:bidi/>
        <w:spacing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 xml:space="preserve">ناقش المجلس السبل الكفيلة بتحقيق الإجراءات التصحيحية الواردة </w:t>
      </w:r>
      <w:r>
        <w:rPr>
          <w:rFonts w:cstheme="minorHAnsi" w:hint="cs"/>
          <w:sz w:val="28"/>
          <w:szCs w:val="28"/>
          <w:rtl/>
          <w:lang w:bidi="ar-IQ"/>
        </w:rPr>
        <w:t>في رسالة البورد الدولي إلى السيد رئيس المجلس بتاريخ 16/10/2020</w:t>
      </w:r>
      <w:r>
        <w:rPr>
          <w:rFonts w:asciiTheme="minorHAnsi" w:hAnsiTheme="minorHAnsi" w:cstheme="minorHAnsi" w:hint="cs"/>
          <w:color w:val="000000" w:themeColor="text1"/>
          <w:sz w:val="28"/>
          <w:szCs w:val="28"/>
          <w:rtl/>
          <w:lang w:bidi="ar-IQ"/>
        </w:rPr>
        <w:t xml:space="preserve"> قبل موعد </w:t>
      </w:r>
      <w:proofErr w:type="spellStart"/>
      <w:r>
        <w:rPr>
          <w:rFonts w:asciiTheme="minorHAnsi" w:hAnsiTheme="minorHAnsi" w:cstheme="minorHAnsi" w:hint="cs"/>
          <w:color w:val="000000" w:themeColor="text1"/>
          <w:sz w:val="28"/>
          <w:szCs w:val="28"/>
          <w:rtl/>
          <w:lang w:bidi="ar-IQ"/>
        </w:rPr>
        <w:t>الفالديشن</w:t>
      </w:r>
      <w:proofErr w:type="spellEnd"/>
      <w:r>
        <w:rPr>
          <w:rFonts w:asciiTheme="minorHAnsi" w:hAnsiTheme="minorHAnsi" w:cstheme="minorHAnsi" w:hint="cs"/>
          <w:color w:val="000000" w:themeColor="text1"/>
          <w:sz w:val="28"/>
          <w:szCs w:val="28"/>
          <w:rtl/>
          <w:lang w:bidi="ar-IQ"/>
        </w:rPr>
        <w:t xml:space="preserve"> في شهر نيسان من عام 2021.</w:t>
      </w:r>
    </w:p>
    <w:p w14:paraId="3F31634D" w14:textId="77777777" w:rsidR="00182F35" w:rsidRPr="00B92F99" w:rsidRDefault="00182F35" w:rsidP="00182F35">
      <w:pPr>
        <w:bidi/>
        <w:spacing w:after="0"/>
        <w:ind w:firstLine="510"/>
        <w:rPr>
          <w:rFonts w:asciiTheme="minorHAnsi" w:hAnsiTheme="minorHAnsi" w:cstheme="minorHAnsi"/>
          <w:color w:val="4472C4" w:themeColor="accent1"/>
          <w:sz w:val="28"/>
          <w:szCs w:val="28"/>
          <w:rtl/>
          <w:lang w:bidi="ar-IQ"/>
        </w:rPr>
      </w:pPr>
      <w:r w:rsidRPr="00B92F99">
        <w:rPr>
          <w:rFonts w:asciiTheme="minorHAnsi" w:hAnsiTheme="minorHAnsi" w:cstheme="minorHAnsi"/>
          <w:b/>
          <w:bCs/>
          <w:color w:val="4472C4" w:themeColor="accent1"/>
          <w:sz w:val="28"/>
          <w:szCs w:val="28"/>
          <w:rtl/>
          <w:lang w:bidi="ar-IQ"/>
        </w:rPr>
        <w:t>القرار</w:t>
      </w:r>
      <w:r w:rsidRPr="00B92F99">
        <w:rPr>
          <w:rFonts w:asciiTheme="minorHAnsi" w:hAnsiTheme="minorHAnsi" w:cstheme="minorHAnsi"/>
          <w:color w:val="4472C4" w:themeColor="accent1"/>
          <w:sz w:val="28"/>
          <w:szCs w:val="28"/>
          <w:rtl/>
          <w:lang w:bidi="ar-IQ"/>
        </w:rPr>
        <w:t>:</w:t>
      </w:r>
    </w:p>
    <w:p w14:paraId="64BB5C02" w14:textId="77777777" w:rsidR="00182F35" w:rsidRPr="00B92F99" w:rsidRDefault="00182F35" w:rsidP="00182F35">
      <w:pPr>
        <w:bidi/>
        <w:spacing w:after="0"/>
        <w:ind w:left="510"/>
        <w:rPr>
          <w:rFonts w:asciiTheme="minorHAnsi" w:hAnsiTheme="minorHAnsi" w:cstheme="minorHAnsi"/>
          <w:color w:val="4472C4" w:themeColor="accent1"/>
          <w:sz w:val="28"/>
          <w:szCs w:val="28"/>
          <w:rtl/>
          <w:lang w:bidi="ar-IQ"/>
        </w:rPr>
      </w:pPr>
      <w:r w:rsidRPr="00B92F99">
        <w:rPr>
          <w:rFonts w:asciiTheme="minorHAnsi" w:hAnsiTheme="minorHAnsi" w:cstheme="minorHAnsi" w:hint="cs"/>
          <w:color w:val="4472C4" w:themeColor="accent1"/>
          <w:sz w:val="28"/>
          <w:szCs w:val="28"/>
          <w:rtl/>
          <w:lang w:bidi="ar-IQ"/>
        </w:rPr>
        <w:t xml:space="preserve">تشكيل لجنة برئاسة السيد محمد رحيم وعضوية السادة زيد الياسري وفريد </w:t>
      </w:r>
      <w:proofErr w:type="spellStart"/>
      <w:r w:rsidRPr="00B92F99">
        <w:rPr>
          <w:rFonts w:asciiTheme="minorHAnsi" w:hAnsiTheme="minorHAnsi" w:cstheme="minorHAnsi" w:hint="cs"/>
          <w:color w:val="4472C4" w:themeColor="accent1"/>
          <w:sz w:val="28"/>
          <w:szCs w:val="28"/>
          <w:rtl/>
          <w:lang w:bidi="ar-IQ"/>
        </w:rPr>
        <w:t>الجادر</w:t>
      </w:r>
      <w:proofErr w:type="spellEnd"/>
      <w:r w:rsidRPr="00B92F99">
        <w:rPr>
          <w:rFonts w:asciiTheme="minorHAnsi" w:hAnsiTheme="minorHAnsi" w:cstheme="minorHAnsi" w:hint="cs"/>
          <w:color w:val="4472C4" w:themeColor="accent1"/>
          <w:sz w:val="28"/>
          <w:szCs w:val="28"/>
          <w:rtl/>
          <w:lang w:bidi="ar-IQ"/>
        </w:rPr>
        <w:t xml:space="preserve"> وممثل الأمانة الوطنية السيد حمزة عبد الصاحب بصفة مقرر. وتكلف اللجنة بدراسة الملاحظات الاثني عشر ووضع الحلول الكفيلة لتحقيقها بالتنسيق مع كافة الجهات المعنية.</w:t>
      </w:r>
    </w:p>
    <w:p w14:paraId="02C5AD2B" w14:textId="77777777" w:rsidR="00182F35" w:rsidRPr="00C03DBB" w:rsidRDefault="00182F35" w:rsidP="00182F35">
      <w:pPr>
        <w:bidi/>
        <w:spacing w:before="240" w:after="0"/>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تقرير لجنة مراجعة</w:t>
      </w:r>
      <w:r w:rsidRPr="00C03DBB">
        <w:rPr>
          <w:rFonts w:asciiTheme="minorHAnsi" w:hAnsiTheme="minorHAnsi" w:cstheme="minorHAnsi"/>
          <w:b/>
          <w:bCs/>
          <w:color w:val="000000" w:themeColor="text1"/>
          <w:sz w:val="28"/>
          <w:szCs w:val="28"/>
          <w:rtl/>
          <w:lang w:bidi="ar-IQ"/>
        </w:rPr>
        <w:t xml:space="preserve"> خطة العمل</w:t>
      </w:r>
    </w:p>
    <w:p w14:paraId="7491086F" w14:textId="77777777" w:rsidR="00182F35" w:rsidRDefault="00182F35" w:rsidP="00182F35">
      <w:pPr>
        <w:bidi/>
        <w:spacing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قدم السيد رئيس اللجنة إيجازاً عن خطوات تخفيض الكلفة الاجمالية من 2 مليار إلى 1 مليار و540 مليون واستعرض توصيات اللجنة.</w:t>
      </w:r>
    </w:p>
    <w:p w14:paraId="7AFD84E8" w14:textId="77777777" w:rsidR="00182F35" w:rsidRPr="00182F35" w:rsidRDefault="00182F35" w:rsidP="00182F35">
      <w:pPr>
        <w:bidi/>
        <w:spacing w:after="0"/>
        <w:ind w:firstLine="360"/>
        <w:jc w:val="both"/>
        <w:rPr>
          <w:rFonts w:asciiTheme="minorHAnsi" w:hAnsiTheme="minorHAnsi" w:cstheme="minorHAnsi"/>
          <w:color w:val="4472C4" w:themeColor="accent1"/>
          <w:sz w:val="28"/>
          <w:szCs w:val="28"/>
          <w:rtl/>
          <w:lang w:bidi="ar-IQ"/>
        </w:rPr>
      </w:pPr>
      <w:r w:rsidRPr="00182F35">
        <w:rPr>
          <w:rFonts w:asciiTheme="minorHAnsi" w:hAnsiTheme="minorHAnsi" w:cstheme="minorHAnsi" w:hint="cs"/>
          <w:color w:val="4472C4" w:themeColor="accent1"/>
          <w:sz w:val="28"/>
          <w:szCs w:val="28"/>
          <w:rtl/>
          <w:lang w:bidi="ar-IQ"/>
        </w:rPr>
        <w:t xml:space="preserve">  </w:t>
      </w:r>
      <w:r w:rsidRPr="00182F35">
        <w:rPr>
          <w:rFonts w:asciiTheme="minorHAnsi" w:hAnsiTheme="minorHAnsi" w:cstheme="minorHAnsi" w:hint="cs"/>
          <w:b/>
          <w:bCs/>
          <w:color w:val="4472C4" w:themeColor="accent1"/>
          <w:sz w:val="28"/>
          <w:szCs w:val="28"/>
          <w:rtl/>
          <w:lang w:bidi="ar-IQ"/>
        </w:rPr>
        <w:t>القرار:</w:t>
      </w:r>
    </w:p>
    <w:p w14:paraId="6AE0AF7D" w14:textId="77777777" w:rsidR="00182F35" w:rsidRPr="00182F35" w:rsidRDefault="00182F35" w:rsidP="00182F35">
      <w:pPr>
        <w:bidi/>
        <w:spacing w:after="0"/>
        <w:ind w:firstLine="360"/>
        <w:jc w:val="both"/>
        <w:rPr>
          <w:rFonts w:asciiTheme="minorHAnsi" w:hAnsiTheme="minorHAnsi" w:cstheme="minorHAnsi"/>
          <w:color w:val="4472C4" w:themeColor="accent1"/>
          <w:sz w:val="28"/>
          <w:szCs w:val="28"/>
          <w:rtl/>
          <w:lang w:bidi="ar-IQ"/>
        </w:rPr>
      </w:pPr>
      <w:r w:rsidRPr="00182F35">
        <w:rPr>
          <w:rFonts w:asciiTheme="minorHAnsi" w:hAnsiTheme="minorHAnsi" w:cstheme="minorHAnsi" w:hint="cs"/>
          <w:color w:val="4472C4" w:themeColor="accent1"/>
          <w:sz w:val="28"/>
          <w:szCs w:val="28"/>
          <w:rtl/>
          <w:lang w:bidi="ar-IQ"/>
        </w:rPr>
        <w:t xml:space="preserve">  اعتماد الخطة والموافقة على التوصيات التالية:</w:t>
      </w:r>
    </w:p>
    <w:p w14:paraId="48B94E50" w14:textId="45D0BDD3" w:rsidR="00182F35" w:rsidRPr="00182F35" w:rsidRDefault="00182F35" w:rsidP="00182F35">
      <w:pPr>
        <w:pStyle w:val="ListParagraph"/>
        <w:numPr>
          <w:ilvl w:val="0"/>
          <w:numId w:val="34"/>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 xml:space="preserve">للمجلس الحق </w:t>
      </w:r>
      <w:r w:rsidR="00CB0A7E" w:rsidRPr="00182F35">
        <w:rPr>
          <w:rFonts w:asciiTheme="minorHAnsi" w:hAnsiTheme="minorHAnsi" w:cstheme="minorHAnsi" w:hint="cs"/>
          <w:color w:val="4472C4" w:themeColor="accent1"/>
          <w:sz w:val="28"/>
          <w:szCs w:val="28"/>
          <w:rtl/>
          <w:lang w:bidi="ar-IQ"/>
        </w:rPr>
        <w:t>بأجراء</w:t>
      </w:r>
      <w:r w:rsidRPr="00182F35">
        <w:rPr>
          <w:rFonts w:asciiTheme="minorHAnsi" w:hAnsiTheme="minorHAnsi" w:cstheme="minorHAnsi" w:hint="cs"/>
          <w:color w:val="4472C4" w:themeColor="accent1"/>
          <w:sz w:val="28"/>
          <w:szCs w:val="28"/>
          <w:rtl/>
          <w:lang w:bidi="ar-IQ"/>
        </w:rPr>
        <w:t xml:space="preserve"> المناقلة حسب الحاجة وتوفر التمويل</w:t>
      </w:r>
    </w:p>
    <w:p w14:paraId="07FE2F4E" w14:textId="77777777" w:rsidR="00182F35" w:rsidRPr="00182F35" w:rsidRDefault="00182F35" w:rsidP="00182F35">
      <w:pPr>
        <w:pStyle w:val="ListParagraph"/>
        <w:numPr>
          <w:ilvl w:val="0"/>
          <w:numId w:val="34"/>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إضافة فقرة في كل اجتماع حول متابعة خطوات التنفيذ والانجاز الفعلي</w:t>
      </w:r>
    </w:p>
    <w:p w14:paraId="3D696774" w14:textId="77777777" w:rsidR="00182F35" w:rsidRPr="00182F35" w:rsidRDefault="00182F35" w:rsidP="00182F35">
      <w:pPr>
        <w:pStyle w:val="ListParagraph"/>
        <w:numPr>
          <w:ilvl w:val="0"/>
          <w:numId w:val="34"/>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يضع المجلس خطة فصلية تفصيلية للتنفيذ</w:t>
      </w:r>
    </w:p>
    <w:p w14:paraId="0FB295C0" w14:textId="77777777" w:rsidR="00182F35" w:rsidRDefault="00182F35" w:rsidP="00182F35">
      <w:pPr>
        <w:bidi/>
        <w:spacing w:before="240" w:after="0"/>
        <w:jc w:val="both"/>
        <w:rPr>
          <w:rFonts w:asciiTheme="minorHAnsi" w:hAnsiTheme="minorHAnsi" w:cstheme="minorHAnsi"/>
          <w:b/>
          <w:bCs/>
          <w:color w:val="000000" w:themeColor="text1"/>
          <w:sz w:val="28"/>
          <w:szCs w:val="28"/>
          <w:lang w:bidi="ar-IQ"/>
        </w:rPr>
      </w:pPr>
    </w:p>
    <w:p w14:paraId="7BF6ECF3" w14:textId="77777777" w:rsidR="00182F35" w:rsidRDefault="00182F35" w:rsidP="00182F35">
      <w:pPr>
        <w:bidi/>
        <w:spacing w:before="240" w:after="0"/>
        <w:jc w:val="both"/>
        <w:rPr>
          <w:rFonts w:asciiTheme="minorHAnsi" w:hAnsiTheme="minorHAnsi" w:cstheme="minorHAnsi"/>
          <w:b/>
          <w:bCs/>
          <w:color w:val="000000" w:themeColor="text1"/>
          <w:sz w:val="28"/>
          <w:szCs w:val="28"/>
          <w:lang w:bidi="ar-IQ"/>
        </w:rPr>
      </w:pPr>
    </w:p>
    <w:p w14:paraId="06CD4FBA" w14:textId="77777777" w:rsidR="00182F35" w:rsidRDefault="00182F35" w:rsidP="00182F35">
      <w:pPr>
        <w:bidi/>
        <w:spacing w:before="240" w:after="0"/>
        <w:jc w:val="both"/>
        <w:rPr>
          <w:rFonts w:asciiTheme="minorHAnsi" w:hAnsiTheme="minorHAnsi" w:cstheme="minorHAnsi"/>
          <w:b/>
          <w:bCs/>
          <w:color w:val="000000" w:themeColor="text1"/>
          <w:sz w:val="28"/>
          <w:szCs w:val="28"/>
          <w:rtl/>
          <w:lang w:bidi="ar-IQ"/>
        </w:rPr>
      </w:pPr>
    </w:p>
    <w:p w14:paraId="51279A9A" w14:textId="77777777" w:rsidR="00182F35" w:rsidRDefault="00182F35" w:rsidP="00182F35">
      <w:pPr>
        <w:bidi/>
        <w:spacing w:before="240" w:after="0"/>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lastRenderedPageBreak/>
        <w:t>الشروط المرجعية لتقرير 2019</w:t>
      </w:r>
      <w:r w:rsidRPr="00C03DBB">
        <w:rPr>
          <w:rFonts w:asciiTheme="minorHAnsi" w:hAnsiTheme="minorHAnsi" w:cstheme="minorHAnsi"/>
          <w:b/>
          <w:bCs/>
          <w:color w:val="000000" w:themeColor="text1"/>
          <w:sz w:val="28"/>
          <w:szCs w:val="28"/>
          <w:rtl/>
          <w:lang w:bidi="ar-IQ"/>
        </w:rPr>
        <w:t>:</w:t>
      </w:r>
      <w:bookmarkStart w:id="1" w:name="_Hlk19823548"/>
    </w:p>
    <w:p w14:paraId="7762D418" w14:textId="77777777" w:rsidR="00182F35" w:rsidRDefault="00182F35" w:rsidP="00182F35">
      <w:pPr>
        <w:bidi/>
        <w:spacing w:before="240" w:after="0"/>
        <w:jc w:val="both"/>
        <w:rPr>
          <w:rFonts w:asciiTheme="minorHAnsi" w:hAnsiTheme="minorHAnsi" w:cstheme="minorHAnsi"/>
          <w:color w:val="000000" w:themeColor="text1"/>
          <w:sz w:val="28"/>
          <w:szCs w:val="28"/>
          <w:rtl/>
          <w:lang w:bidi="ar-IQ"/>
        </w:rPr>
      </w:pPr>
      <w:r w:rsidRPr="00736C33">
        <w:rPr>
          <w:rFonts w:asciiTheme="minorHAnsi" w:hAnsiTheme="minorHAnsi" w:cstheme="minorHAnsi" w:hint="cs"/>
          <w:color w:val="000000" w:themeColor="text1"/>
          <w:sz w:val="28"/>
          <w:szCs w:val="28"/>
          <w:rtl/>
          <w:lang w:bidi="ar-IQ"/>
        </w:rPr>
        <w:t>اطلع المجلس على النسخة النهائية للشروط المرجعية لتقرير عام 2019 واستمع إلى إيجاز اللجنة</w:t>
      </w:r>
      <w:r>
        <w:rPr>
          <w:rFonts w:asciiTheme="minorHAnsi" w:hAnsiTheme="minorHAnsi" w:cstheme="minorHAnsi" w:hint="cs"/>
          <w:b/>
          <w:bCs/>
          <w:color w:val="000000" w:themeColor="text1"/>
          <w:sz w:val="28"/>
          <w:szCs w:val="28"/>
          <w:rtl/>
          <w:lang w:bidi="ar-IQ"/>
        </w:rPr>
        <w:t xml:space="preserve"> </w:t>
      </w:r>
      <w:r>
        <w:rPr>
          <w:rFonts w:asciiTheme="minorHAnsi" w:hAnsiTheme="minorHAnsi" w:cstheme="minorHAnsi" w:hint="cs"/>
          <w:color w:val="000000" w:themeColor="text1"/>
          <w:sz w:val="28"/>
          <w:szCs w:val="28"/>
          <w:rtl/>
          <w:lang w:bidi="ar-IQ"/>
        </w:rPr>
        <w:t>ومراعاة الملاحظات السابقة.</w:t>
      </w:r>
    </w:p>
    <w:bookmarkEnd w:id="1"/>
    <w:p w14:paraId="256F87DE" w14:textId="77777777" w:rsidR="00182F35" w:rsidRPr="00182F35" w:rsidRDefault="00182F35" w:rsidP="00182F35">
      <w:pPr>
        <w:bidi/>
        <w:spacing w:after="0"/>
        <w:ind w:firstLine="510"/>
        <w:jc w:val="both"/>
        <w:rPr>
          <w:rFonts w:asciiTheme="minorHAnsi" w:hAnsiTheme="minorHAnsi" w:cstheme="minorHAnsi"/>
          <w:b/>
          <w:bCs/>
          <w:color w:val="4472C4" w:themeColor="accent1"/>
          <w:sz w:val="28"/>
          <w:szCs w:val="28"/>
          <w:rtl/>
          <w:lang w:bidi="ar-IQ"/>
        </w:rPr>
      </w:pPr>
      <w:r w:rsidRPr="00182F35">
        <w:rPr>
          <w:rFonts w:asciiTheme="minorHAnsi" w:hAnsiTheme="minorHAnsi" w:cstheme="minorHAnsi"/>
          <w:b/>
          <w:bCs/>
          <w:color w:val="4472C4" w:themeColor="accent1"/>
          <w:sz w:val="28"/>
          <w:szCs w:val="28"/>
          <w:rtl/>
          <w:lang w:bidi="ar-IQ"/>
        </w:rPr>
        <w:t>القرار:</w:t>
      </w:r>
    </w:p>
    <w:p w14:paraId="42BC1FE6" w14:textId="77777777" w:rsidR="00182F35" w:rsidRPr="00182F35" w:rsidRDefault="00182F35" w:rsidP="00182F35">
      <w:pPr>
        <w:bidi/>
        <w:spacing w:after="0"/>
        <w:ind w:left="510"/>
        <w:jc w:val="both"/>
        <w:rPr>
          <w:rFonts w:asciiTheme="minorHAnsi" w:hAnsiTheme="minorHAnsi" w:cstheme="minorHAnsi"/>
          <w:color w:val="4472C4" w:themeColor="accent1"/>
          <w:sz w:val="28"/>
          <w:szCs w:val="28"/>
          <w:rtl/>
          <w:lang w:bidi="ar-IQ"/>
        </w:rPr>
      </w:pPr>
      <w:r w:rsidRPr="00182F35">
        <w:rPr>
          <w:rFonts w:asciiTheme="minorHAnsi" w:hAnsiTheme="minorHAnsi" w:cstheme="minorHAnsi"/>
          <w:color w:val="4472C4" w:themeColor="accent1"/>
          <w:sz w:val="28"/>
          <w:szCs w:val="28"/>
          <w:rtl/>
          <w:lang w:bidi="ar-IQ"/>
        </w:rPr>
        <w:t xml:space="preserve">قرر المجلس المصادقة على </w:t>
      </w:r>
      <w:r w:rsidRPr="00182F35">
        <w:rPr>
          <w:rFonts w:asciiTheme="minorHAnsi" w:hAnsiTheme="minorHAnsi" w:cstheme="minorHAnsi" w:hint="cs"/>
          <w:color w:val="4472C4" w:themeColor="accent1"/>
          <w:sz w:val="28"/>
          <w:szCs w:val="28"/>
          <w:rtl/>
          <w:lang w:bidi="ar-IQ"/>
        </w:rPr>
        <w:t>الشروط المرجعية بعد إضافة الآتي:</w:t>
      </w:r>
    </w:p>
    <w:p w14:paraId="462082A3" w14:textId="77777777" w:rsidR="00182F35" w:rsidRPr="00182F35" w:rsidRDefault="00182F35" w:rsidP="00182F35">
      <w:pPr>
        <w:pStyle w:val="ListParagraph"/>
        <w:numPr>
          <w:ilvl w:val="0"/>
          <w:numId w:val="1"/>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ملخص عن تحليل الموازنة الذي أعده معهد الإصلاح الاقتصادي العراقي واضافة رابط التحليل المنشور على موقع المعهد</w:t>
      </w:r>
    </w:p>
    <w:p w14:paraId="68407703" w14:textId="77777777" w:rsidR="00182F35" w:rsidRPr="00182F35" w:rsidRDefault="00182F35" w:rsidP="00182F35">
      <w:pPr>
        <w:pStyle w:val="ListParagraph"/>
        <w:numPr>
          <w:ilvl w:val="0"/>
          <w:numId w:val="1"/>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توصيات اللجنة المكلفة بتحقيق الإجراءات التصحيحية.</w:t>
      </w:r>
    </w:p>
    <w:p w14:paraId="0C229917" w14:textId="77777777" w:rsidR="00182F35" w:rsidRPr="00182F35" w:rsidRDefault="00182F35" w:rsidP="00182F35">
      <w:pPr>
        <w:pStyle w:val="ListParagraph"/>
        <w:numPr>
          <w:ilvl w:val="0"/>
          <w:numId w:val="1"/>
        </w:numPr>
        <w:bidi/>
        <w:jc w:val="both"/>
        <w:rPr>
          <w:rFonts w:asciiTheme="minorHAnsi" w:hAnsiTheme="minorHAnsi" w:cstheme="minorHAnsi"/>
          <w:color w:val="4472C4" w:themeColor="accent1"/>
          <w:sz w:val="28"/>
          <w:szCs w:val="28"/>
          <w:lang w:bidi="ar-IQ"/>
        </w:rPr>
      </w:pPr>
      <w:r w:rsidRPr="00182F35">
        <w:rPr>
          <w:rFonts w:asciiTheme="minorHAnsi" w:hAnsiTheme="minorHAnsi" w:cstheme="minorHAnsi" w:hint="cs"/>
          <w:color w:val="4472C4" w:themeColor="accent1"/>
          <w:sz w:val="28"/>
          <w:szCs w:val="28"/>
          <w:rtl/>
          <w:lang w:bidi="ar-IQ"/>
        </w:rPr>
        <w:t>اعتماد نفس نسبة الأهمية النسبية التي ستحددها اللجنة المشكلة لنفس الغرض فيما يخص تقرير عام 2018.</w:t>
      </w:r>
    </w:p>
    <w:p w14:paraId="349AEC13" w14:textId="77777777" w:rsidR="00182F35" w:rsidRPr="00182F35" w:rsidRDefault="00182F35" w:rsidP="00182F35">
      <w:pPr>
        <w:bidi/>
        <w:spacing w:after="0" w:line="240" w:lineRule="auto"/>
        <w:jc w:val="both"/>
        <w:rPr>
          <w:rFonts w:cs="Calibri"/>
          <w:color w:val="4472C4" w:themeColor="accent1"/>
          <w:sz w:val="28"/>
          <w:szCs w:val="28"/>
          <w:rtl/>
          <w:lang w:bidi="ar-IQ"/>
        </w:rPr>
      </w:pPr>
    </w:p>
    <w:bookmarkEnd w:id="0"/>
    <w:p w14:paraId="419F349E" w14:textId="77777777" w:rsidR="00D73852" w:rsidRDefault="00D73852" w:rsidP="00D73852">
      <w:pPr>
        <w:bidi/>
        <w:spacing w:after="0" w:line="240" w:lineRule="auto"/>
        <w:jc w:val="right"/>
        <w:rPr>
          <w:rFonts w:cs="Calibri"/>
          <w:b/>
          <w:bCs/>
          <w:sz w:val="28"/>
          <w:szCs w:val="28"/>
          <w:rtl/>
          <w:lang w:bidi="ar-IQ"/>
        </w:rPr>
      </w:pPr>
    </w:p>
    <w:p w14:paraId="598EF96B" w14:textId="77777777" w:rsidR="00D507DA" w:rsidRDefault="00D507DA" w:rsidP="00D507DA">
      <w:pPr>
        <w:bidi/>
        <w:spacing w:after="0" w:line="240" w:lineRule="auto"/>
        <w:jc w:val="right"/>
        <w:rPr>
          <w:rFonts w:cs="Calibri"/>
          <w:b/>
          <w:bCs/>
          <w:sz w:val="28"/>
          <w:szCs w:val="28"/>
          <w:rtl/>
          <w:lang w:bidi="ar-IQ"/>
        </w:rPr>
      </w:pPr>
    </w:p>
    <w:p w14:paraId="6706133B" w14:textId="77777777" w:rsidR="00D507DA" w:rsidRDefault="00D507DA" w:rsidP="00D507DA">
      <w:pPr>
        <w:bidi/>
        <w:spacing w:after="0" w:line="240" w:lineRule="auto"/>
        <w:jc w:val="right"/>
        <w:rPr>
          <w:rFonts w:cs="Calibri"/>
          <w:sz w:val="28"/>
          <w:szCs w:val="28"/>
          <w:rtl/>
          <w:lang w:bidi="ar-IQ"/>
        </w:rPr>
      </w:pPr>
    </w:p>
    <w:p w14:paraId="686BE43F" w14:textId="5D708B5C" w:rsidR="00D73852" w:rsidRPr="00D73852" w:rsidRDefault="00D73852" w:rsidP="00D73852">
      <w:pPr>
        <w:bidi/>
        <w:spacing w:after="0" w:line="240" w:lineRule="auto"/>
        <w:jc w:val="right"/>
        <w:rPr>
          <w:rFonts w:cs="Calibri"/>
          <w:b/>
          <w:bCs/>
          <w:sz w:val="28"/>
          <w:szCs w:val="28"/>
          <w:lang w:bidi="ar-IQ"/>
        </w:rPr>
      </w:pPr>
      <w:r w:rsidRPr="00D73852">
        <w:rPr>
          <w:rFonts w:cs="Calibri" w:hint="cs"/>
          <w:b/>
          <w:bCs/>
          <w:sz w:val="28"/>
          <w:szCs w:val="28"/>
          <w:rtl/>
          <w:lang w:bidi="ar-IQ"/>
        </w:rPr>
        <w:t>مجلس الأمناء</w:t>
      </w:r>
    </w:p>
    <w:sectPr w:rsidR="00D73852" w:rsidRPr="00D73852"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9319A" w14:textId="77777777" w:rsidR="007E6B51" w:rsidRDefault="007E6B51">
      <w:pPr>
        <w:spacing w:after="0" w:line="240" w:lineRule="auto"/>
      </w:pPr>
      <w:r>
        <w:separator/>
      </w:r>
    </w:p>
  </w:endnote>
  <w:endnote w:type="continuationSeparator" w:id="0">
    <w:p w14:paraId="1188F8C1" w14:textId="77777777" w:rsidR="007E6B51" w:rsidRDefault="007E6B51">
      <w:pPr>
        <w:spacing w:after="0" w:line="240" w:lineRule="auto"/>
      </w:pPr>
      <w:r>
        <w:continuationSeparator/>
      </w:r>
    </w:p>
  </w:endnote>
  <w:endnote w:type="continuationNotice" w:id="1">
    <w:p w14:paraId="11DDF4C6" w14:textId="77777777" w:rsidR="007E6B51" w:rsidRDefault="007E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FBE95" w14:textId="77777777" w:rsidR="007E6B51" w:rsidRDefault="007E6B51">
      <w:pPr>
        <w:spacing w:after="0" w:line="240" w:lineRule="auto"/>
      </w:pPr>
      <w:r>
        <w:separator/>
      </w:r>
    </w:p>
  </w:footnote>
  <w:footnote w:type="continuationSeparator" w:id="0">
    <w:p w14:paraId="281982C4" w14:textId="77777777" w:rsidR="007E6B51" w:rsidRDefault="007E6B51">
      <w:pPr>
        <w:spacing w:after="0" w:line="240" w:lineRule="auto"/>
      </w:pPr>
      <w:r>
        <w:continuationSeparator/>
      </w:r>
    </w:p>
  </w:footnote>
  <w:footnote w:type="continuationNotice" w:id="1">
    <w:p w14:paraId="0CCAFF73" w14:textId="77777777" w:rsidR="007E6B51" w:rsidRDefault="007E6B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0F95"/>
    <w:multiLevelType w:val="hybridMultilevel"/>
    <w:tmpl w:val="1B0E523A"/>
    <w:lvl w:ilvl="0" w:tplc="E0ACDE30">
      <w:start w:val="1"/>
      <w:numFmt w:val="decimal"/>
      <w:lvlText w:val="%1."/>
      <w:lvlJc w:val="left"/>
      <w:pPr>
        <w:ind w:left="785" w:hanging="360"/>
      </w:pPr>
      <w:rPr>
        <w:rFonts w:hint="default"/>
        <w:lang w:bidi="ar-IQ"/>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4"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F8278C"/>
    <w:multiLevelType w:val="hybridMultilevel"/>
    <w:tmpl w:val="E24E6294"/>
    <w:lvl w:ilvl="0" w:tplc="A03A7E6E">
      <w:start w:val="1"/>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7443F4"/>
    <w:multiLevelType w:val="hybridMultilevel"/>
    <w:tmpl w:val="128AA0AE"/>
    <w:lvl w:ilvl="0" w:tplc="ACD4D746">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1958753228">
    <w:abstractNumId w:val="24"/>
  </w:num>
  <w:num w:numId="2" w16cid:durableId="2066029428">
    <w:abstractNumId w:val="27"/>
  </w:num>
  <w:num w:numId="3" w16cid:durableId="1437478818">
    <w:abstractNumId w:val="4"/>
  </w:num>
  <w:num w:numId="4" w16cid:durableId="1079330799">
    <w:abstractNumId w:val="21"/>
  </w:num>
  <w:num w:numId="5" w16cid:durableId="1257787638">
    <w:abstractNumId w:val="33"/>
  </w:num>
  <w:num w:numId="6" w16cid:durableId="1059015359">
    <w:abstractNumId w:val="3"/>
  </w:num>
  <w:num w:numId="7" w16cid:durableId="771777547">
    <w:abstractNumId w:val="29"/>
  </w:num>
  <w:num w:numId="8" w16cid:durableId="1046611220">
    <w:abstractNumId w:val="18"/>
  </w:num>
  <w:num w:numId="9" w16cid:durableId="329335488">
    <w:abstractNumId w:val="10"/>
  </w:num>
  <w:num w:numId="10" w16cid:durableId="749353958">
    <w:abstractNumId w:val="2"/>
  </w:num>
  <w:num w:numId="11" w16cid:durableId="791510250">
    <w:abstractNumId w:val="5"/>
  </w:num>
  <w:num w:numId="12" w16cid:durableId="2065710734">
    <w:abstractNumId w:val="9"/>
  </w:num>
  <w:num w:numId="13" w16cid:durableId="558051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2"/>
  </w:num>
  <w:num w:numId="15" w16cid:durableId="165289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1"/>
  </w:num>
  <w:num w:numId="17" w16cid:durableId="850995611">
    <w:abstractNumId w:val="6"/>
  </w:num>
  <w:num w:numId="18" w16cid:durableId="1869370000">
    <w:abstractNumId w:val="8"/>
  </w:num>
  <w:num w:numId="19" w16cid:durableId="800391664">
    <w:abstractNumId w:val="1"/>
  </w:num>
  <w:num w:numId="20" w16cid:durableId="912273557">
    <w:abstractNumId w:val="17"/>
  </w:num>
  <w:num w:numId="21" w16cid:durableId="1912502859">
    <w:abstractNumId w:val="25"/>
  </w:num>
  <w:num w:numId="22" w16cid:durableId="1794323852">
    <w:abstractNumId w:val="7"/>
  </w:num>
  <w:num w:numId="23" w16cid:durableId="580259878">
    <w:abstractNumId w:val="16"/>
  </w:num>
  <w:num w:numId="24" w16cid:durableId="1202353494">
    <w:abstractNumId w:val="15"/>
  </w:num>
  <w:num w:numId="25" w16cid:durableId="1162618368">
    <w:abstractNumId w:val="12"/>
  </w:num>
  <w:num w:numId="26" w16cid:durableId="361908459">
    <w:abstractNumId w:val="19"/>
  </w:num>
  <w:num w:numId="27" w16cid:durableId="1511677990">
    <w:abstractNumId w:val="23"/>
  </w:num>
  <w:num w:numId="28" w16cid:durableId="1229809193">
    <w:abstractNumId w:val="31"/>
  </w:num>
  <w:num w:numId="29" w16cid:durableId="2143842682">
    <w:abstractNumId w:val="28"/>
  </w:num>
  <w:num w:numId="30" w16cid:durableId="2114401700">
    <w:abstractNumId w:val="26"/>
  </w:num>
  <w:num w:numId="31" w16cid:durableId="768355164">
    <w:abstractNumId w:val="30"/>
  </w:num>
  <w:num w:numId="32" w16cid:durableId="500268809">
    <w:abstractNumId w:val="20"/>
  </w:num>
  <w:num w:numId="33" w16cid:durableId="1472018395">
    <w:abstractNumId w:val="34"/>
  </w:num>
  <w:num w:numId="34" w16cid:durableId="1059207946">
    <w:abstractNumId w:val="0"/>
  </w:num>
  <w:num w:numId="35" w16cid:durableId="1172767490">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0E01"/>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35"/>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36BA"/>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97C39"/>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E6B51"/>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36122"/>
    <w:rsid w:val="00840B72"/>
    <w:rsid w:val="00841A56"/>
    <w:rsid w:val="00841B1F"/>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0CC7"/>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3513"/>
    <w:rsid w:val="00913B1F"/>
    <w:rsid w:val="009143D9"/>
    <w:rsid w:val="00921173"/>
    <w:rsid w:val="009215DC"/>
    <w:rsid w:val="00923112"/>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A96"/>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47C09"/>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2F99"/>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0A7E"/>
    <w:rsid w:val="00CB355C"/>
    <w:rsid w:val="00CB3631"/>
    <w:rsid w:val="00CB3A02"/>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4</cp:revision>
  <cp:lastPrinted>2024-06-10T07:32:00Z</cp:lastPrinted>
  <dcterms:created xsi:type="dcterms:W3CDTF">2024-07-09T18:31:00Z</dcterms:created>
  <dcterms:modified xsi:type="dcterms:W3CDTF">2024-07-30T06:02:00Z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